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4C1AF1" w:rsidRDefault="00E15C74" w:rsidP="00195D88">
      <w:pPr>
        <w:spacing w:line="360" w:lineRule="auto"/>
        <w:jc w:val="both"/>
        <w:rPr>
          <w:rFonts w:ascii="Times New Roman" w:hAnsi="Times New Roman" w:cs="Times New Roman"/>
          <w:b/>
        </w:rPr>
      </w:pPr>
      <w:r w:rsidRPr="004C1AF1">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4C1AF1">
        <w:trPr>
          <w:trHeight w:val="977"/>
        </w:trPr>
        <w:tc>
          <w:tcPr>
            <w:tcW w:w="3062" w:type="dxa"/>
          </w:tcPr>
          <w:p w:rsidR="00BA178E" w:rsidRPr="004C1AF1" w:rsidRDefault="00E15C74" w:rsidP="00195D88">
            <w:pPr>
              <w:spacing w:line="360" w:lineRule="auto"/>
              <w:jc w:val="both"/>
              <w:rPr>
                <w:rFonts w:ascii="Times New Roman" w:hAnsi="Times New Roman" w:cs="Times New Roman"/>
                <w:b/>
                <w:bCs/>
              </w:rPr>
            </w:pPr>
            <w:r w:rsidRPr="004C1AF1">
              <w:rPr>
                <w:rFonts w:ascii="Times New Roman" w:hAnsi="Times New Roman" w:cs="Times New Roman"/>
                <w:b/>
                <w:bCs/>
              </w:rPr>
              <w:t>Article Number:</w:t>
            </w:r>
          </w:p>
          <w:p w:rsidR="00BA178E" w:rsidRPr="004C1AF1" w:rsidRDefault="00012334" w:rsidP="00195D88">
            <w:pPr>
              <w:spacing w:line="360" w:lineRule="auto"/>
              <w:jc w:val="both"/>
              <w:rPr>
                <w:rFonts w:ascii="Times New Roman" w:hAnsi="Times New Roman" w:cs="Times New Roman"/>
                <w:b/>
              </w:rPr>
            </w:pPr>
            <w:r w:rsidRPr="00012334">
              <w:rPr>
                <w:rFonts w:ascii="Times New Roman" w:hAnsi="Times New Roman" w:cs="Times New Roman"/>
                <w:b/>
              </w:rPr>
              <w:t>JAID-3002</w:t>
            </w:r>
          </w:p>
        </w:tc>
        <w:tc>
          <w:tcPr>
            <w:tcW w:w="3600" w:type="dxa"/>
          </w:tcPr>
          <w:p w:rsidR="00BA178E" w:rsidRPr="004C1AF1" w:rsidRDefault="00E15C74" w:rsidP="00195D88">
            <w:pPr>
              <w:autoSpaceDE w:val="0"/>
              <w:autoSpaceDN w:val="0"/>
              <w:adjustRightInd w:val="0"/>
              <w:spacing w:after="0" w:line="360" w:lineRule="auto"/>
              <w:jc w:val="both"/>
              <w:rPr>
                <w:rFonts w:ascii="Times New Roman" w:hAnsi="Times New Roman" w:cs="Times New Roman"/>
                <w:b/>
                <w:bCs/>
                <w:lang w:val="en-GB"/>
              </w:rPr>
            </w:pPr>
            <w:r w:rsidRPr="004C1AF1">
              <w:rPr>
                <w:rFonts w:ascii="Times New Roman" w:hAnsi="Times New Roman" w:cs="Times New Roman"/>
                <w:b/>
                <w:bCs/>
                <w:lang w:val="en-GB"/>
              </w:rPr>
              <w:t>Author Name</w:t>
            </w:r>
          </w:p>
          <w:p w:rsidR="00BA178E" w:rsidRPr="004C1AF1" w:rsidRDefault="00BA178E" w:rsidP="00195D88">
            <w:pPr>
              <w:autoSpaceDE w:val="0"/>
              <w:autoSpaceDN w:val="0"/>
              <w:adjustRightInd w:val="0"/>
              <w:spacing w:after="0" w:line="360" w:lineRule="auto"/>
              <w:jc w:val="both"/>
              <w:rPr>
                <w:rFonts w:ascii="Times New Roman" w:hAnsi="Times New Roman" w:cs="Times New Roman"/>
                <w:b/>
              </w:rPr>
            </w:pPr>
          </w:p>
          <w:p w:rsidR="00BA178E" w:rsidRPr="004C1AF1" w:rsidRDefault="00012334" w:rsidP="00195D88">
            <w:pPr>
              <w:autoSpaceDE w:val="0"/>
              <w:autoSpaceDN w:val="0"/>
              <w:adjustRightInd w:val="0"/>
              <w:spacing w:after="0" w:line="360" w:lineRule="auto"/>
              <w:jc w:val="both"/>
              <w:rPr>
                <w:rFonts w:ascii="Times New Roman" w:hAnsi="Times New Roman" w:cs="Times New Roman"/>
                <w:b/>
                <w:bCs/>
                <w:lang w:val="en-GB"/>
              </w:rPr>
            </w:pPr>
            <w:r w:rsidRPr="00012334">
              <w:rPr>
                <w:rFonts w:ascii="Times New Roman" w:hAnsi="Times New Roman" w:cs="Times New Roman"/>
                <w:b/>
              </w:rPr>
              <w:t>Chen Ling</w:t>
            </w:r>
          </w:p>
        </w:tc>
        <w:tc>
          <w:tcPr>
            <w:tcW w:w="3443" w:type="dxa"/>
          </w:tcPr>
          <w:p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 xml:space="preserve"> </w:t>
            </w:r>
          </w:p>
        </w:tc>
      </w:tr>
      <w:tr w:rsidR="00BA178E" w:rsidRPr="004C1AF1">
        <w:trPr>
          <w:trHeight w:val="413"/>
        </w:trPr>
        <w:tc>
          <w:tcPr>
            <w:tcW w:w="3062" w:type="dxa"/>
            <w:vAlign w:val="center"/>
          </w:tcPr>
          <w:p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Accept</w:t>
            </w:r>
          </w:p>
        </w:tc>
        <w:tc>
          <w:tcPr>
            <w:tcW w:w="3600" w:type="dxa"/>
            <w:vAlign w:val="center"/>
          </w:tcPr>
          <w:p w:rsidR="00BA178E" w:rsidRPr="004C1AF1" w:rsidRDefault="00E15C74" w:rsidP="00195D88">
            <w:pPr>
              <w:pStyle w:val="ListParagraph"/>
              <w:numPr>
                <w:ilvl w:val="0"/>
                <w:numId w:val="37"/>
              </w:numPr>
              <w:spacing w:line="360" w:lineRule="auto"/>
              <w:jc w:val="both"/>
              <w:rPr>
                <w:rFonts w:ascii="Times New Roman" w:hAnsi="Times New Roman" w:cs="Times New Roman"/>
                <w:b/>
              </w:rPr>
            </w:pPr>
            <w:r w:rsidRPr="004C1AF1">
              <w:rPr>
                <w:rFonts w:ascii="Times New Roman" w:hAnsi="Times New Roman" w:cs="Times New Roman"/>
                <w:b/>
              </w:rPr>
              <w:t>Minor Revision</w:t>
            </w:r>
          </w:p>
        </w:tc>
        <w:tc>
          <w:tcPr>
            <w:tcW w:w="3443" w:type="dxa"/>
            <w:vAlign w:val="center"/>
          </w:tcPr>
          <w:p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Major Revision</w:t>
            </w:r>
          </w:p>
        </w:tc>
      </w:tr>
      <w:tr w:rsidR="00BA178E" w:rsidRPr="004C1AF1">
        <w:trPr>
          <w:trHeight w:val="440"/>
        </w:trPr>
        <w:tc>
          <w:tcPr>
            <w:tcW w:w="3062" w:type="dxa"/>
            <w:vAlign w:val="center"/>
          </w:tcPr>
          <w:p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Reject</w:t>
            </w:r>
          </w:p>
        </w:tc>
        <w:tc>
          <w:tcPr>
            <w:tcW w:w="3600" w:type="dxa"/>
            <w:vAlign w:val="center"/>
          </w:tcPr>
          <w:p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Re-revision</w:t>
            </w:r>
          </w:p>
        </w:tc>
        <w:tc>
          <w:tcPr>
            <w:tcW w:w="3443" w:type="dxa"/>
            <w:vAlign w:val="center"/>
          </w:tcPr>
          <w:p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Poor Quality</w:t>
            </w:r>
          </w:p>
        </w:tc>
      </w:tr>
      <w:tr w:rsidR="00BA178E" w:rsidRPr="004C1AF1" w:rsidTr="00907B70">
        <w:trPr>
          <w:trHeight w:val="1408"/>
        </w:trPr>
        <w:tc>
          <w:tcPr>
            <w:tcW w:w="10105" w:type="dxa"/>
            <w:gridSpan w:val="3"/>
          </w:tcPr>
          <w:p w:rsidR="00B41270" w:rsidRDefault="00E15C74" w:rsidP="00195D88">
            <w:pPr>
              <w:spacing w:line="360" w:lineRule="auto"/>
              <w:jc w:val="both"/>
              <w:rPr>
                <w:rFonts w:ascii="Times New Roman" w:eastAsia="Times New Roman" w:hAnsi="Times New Roman" w:cs="Times New Roman"/>
                <w:b/>
                <w:bCs/>
                <w:shd w:val="clear" w:color="auto" w:fill="FFFFFF"/>
                <w:lang w:val="en-IN" w:eastAsia="en-IN"/>
              </w:rPr>
            </w:pPr>
            <w:r w:rsidRPr="004C1AF1">
              <w:rPr>
                <w:rFonts w:ascii="Times New Roman" w:eastAsia="Times New Roman" w:hAnsi="Times New Roman" w:cs="Times New Roman"/>
                <w:b/>
                <w:bCs/>
                <w:shd w:val="clear" w:color="auto" w:fill="FFFFFF"/>
                <w:lang w:val="en-IN" w:eastAsia="en-IN"/>
              </w:rPr>
              <w:t>Title:</w:t>
            </w:r>
            <w:r w:rsidR="00741C05">
              <w:rPr>
                <w:b/>
                <w:bCs/>
                <w:shd w:val="clear" w:color="auto" w:fill="FFFFFF"/>
                <w:lang w:val="en-IN" w:eastAsia="en-IN"/>
              </w:rPr>
              <w:t xml:space="preserve"> </w:t>
            </w:r>
            <w:r w:rsidR="00B41270" w:rsidRPr="00B41270">
              <w:rPr>
                <w:rFonts w:ascii="Times New Roman" w:eastAsia="Times New Roman" w:hAnsi="Times New Roman" w:cs="Times New Roman"/>
                <w:b/>
                <w:bCs/>
                <w:shd w:val="clear" w:color="auto" w:fill="FFFFFF"/>
                <w:lang w:val="en-IN" w:eastAsia="en-IN"/>
              </w:rPr>
              <w:t xml:space="preserve">The Risk </w:t>
            </w:r>
            <w:r w:rsidR="00B41270">
              <w:rPr>
                <w:rFonts w:ascii="Times New Roman" w:eastAsia="Times New Roman" w:hAnsi="Times New Roman" w:cs="Times New Roman"/>
                <w:b/>
                <w:bCs/>
                <w:shd w:val="clear" w:color="auto" w:fill="FFFFFF"/>
                <w:lang w:val="en-IN" w:eastAsia="en-IN"/>
              </w:rPr>
              <w:t>o</w:t>
            </w:r>
            <w:r w:rsidR="00B41270" w:rsidRPr="00B41270">
              <w:rPr>
                <w:rFonts w:ascii="Times New Roman" w:eastAsia="Times New Roman" w:hAnsi="Times New Roman" w:cs="Times New Roman"/>
                <w:b/>
                <w:bCs/>
                <w:shd w:val="clear" w:color="auto" w:fill="FFFFFF"/>
                <w:lang w:val="en-IN" w:eastAsia="en-IN"/>
              </w:rPr>
              <w:t xml:space="preserve">f Weight Gain </w:t>
            </w:r>
            <w:r w:rsidR="00B41270">
              <w:rPr>
                <w:rFonts w:ascii="Times New Roman" w:eastAsia="Times New Roman" w:hAnsi="Times New Roman" w:cs="Times New Roman"/>
                <w:b/>
                <w:bCs/>
                <w:shd w:val="clear" w:color="auto" w:fill="FFFFFF"/>
                <w:lang w:val="en-IN" w:eastAsia="en-IN"/>
              </w:rPr>
              <w:t>i</w:t>
            </w:r>
            <w:r w:rsidR="00B41270" w:rsidRPr="00B41270">
              <w:rPr>
                <w:rFonts w:ascii="Times New Roman" w:eastAsia="Times New Roman" w:hAnsi="Times New Roman" w:cs="Times New Roman"/>
                <w:b/>
                <w:bCs/>
                <w:shd w:val="clear" w:color="auto" w:fill="FFFFFF"/>
                <w:lang w:val="en-IN" w:eastAsia="en-IN"/>
              </w:rPr>
              <w:t xml:space="preserve">n </w:t>
            </w:r>
            <w:proofErr w:type="spellStart"/>
            <w:r w:rsidR="00B41270" w:rsidRPr="00B41270">
              <w:rPr>
                <w:rFonts w:ascii="Times New Roman" w:eastAsia="Times New Roman" w:hAnsi="Times New Roman" w:cs="Times New Roman"/>
                <w:b/>
                <w:bCs/>
                <w:shd w:val="clear" w:color="auto" w:fill="FFFFFF"/>
                <w:lang w:val="en-IN" w:eastAsia="en-IN"/>
              </w:rPr>
              <w:t>Hiv</w:t>
            </w:r>
            <w:proofErr w:type="spellEnd"/>
            <w:r w:rsidR="00B41270" w:rsidRPr="00B41270">
              <w:rPr>
                <w:rFonts w:ascii="Times New Roman" w:eastAsia="Times New Roman" w:hAnsi="Times New Roman" w:cs="Times New Roman"/>
                <w:b/>
                <w:bCs/>
                <w:shd w:val="clear" w:color="auto" w:fill="FFFFFF"/>
                <w:lang w:val="en-IN" w:eastAsia="en-IN"/>
              </w:rPr>
              <w:t xml:space="preserve"> Treatment-Naïve Individuals Antiretroviral Therapy </w:t>
            </w:r>
            <w:proofErr w:type="spellStart"/>
            <w:r w:rsidR="00B41270" w:rsidRPr="00B41270">
              <w:rPr>
                <w:rFonts w:ascii="Times New Roman" w:eastAsia="Times New Roman" w:hAnsi="Times New Roman" w:cs="Times New Roman"/>
                <w:b/>
                <w:bCs/>
                <w:shd w:val="clear" w:color="auto" w:fill="FFFFFF"/>
                <w:lang w:val="en-IN" w:eastAsia="en-IN"/>
              </w:rPr>
              <w:t>Insti</w:t>
            </w:r>
            <w:proofErr w:type="spellEnd"/>
            <w:r w:rsidR="00B41270" w:rsidRPr="00B41270">
              <w:rPr>
                <w:rFonts w:ascii="Times New Roman" w:eastAsia="Times New Roman" w:hAnsi="Times New Roman" w:cs="Times New Roman"/>
                <w:b/>
                <w:bCs/>
                <w:shd w:val="clear" w:color="auto" w:fill="FFFFFF"/>
                <w:lang w:val="en-IN" w:eastAsia="en-IN"/>
              </w:rPr>
              <w:t xml:space="preserve">-Based </w:t>
            </w:r>
            <w:r w:rsidR="00B41270">
              <w:rPr>
                <w:rFonts w:ascii="Times New Roman" w:eastAsia="Times New Roman" w:hAnsi="Times New Roman" w:cs="Times New Roman"/>
                <w:b/>
                <w:bCs/>
                <w:shd w:val="clear" w:color="auto" w:fill="FFFFFF"/>
                <w:lang w:val="en-IN" w:eastAsia="en-IN"/>
              </w:rPr>
              <w:t>a</w:t>
            </w:r>
            <w:r w:rsidR="00B41270" w:rsidRPr="00B41270">
              <w:rPr>
                <w:rFonts w:ascii="Times New Roman" w:eastAsia="Times New Roman" w:hAnsi="Times New Roman" w:cs="Times New Roman"/>
                <w:b/>
                <w:bCs/>
                <w:shd w:val="clear" w:color="auto" w:fill="FFFFFF"/>
                <w:lang w:val="en-IN" w:eastAsia="en-IN"/>
              </w:rPr>
              <w:t>nd Non-</w:t>
            </w:r>
            <w:proofErr w:type="spellStart"/>
            <w:r w:rsidR="00B41270" w:rsidRPr="00B41270">
              <w:rPr>
                <w:rFonts w:ascii="Times New Roman" w:eastAsia="Times New Roman" w:hAnsi="Times New Roman" w:cs="Times New Roman"/>
                <w:b/>
                <w:bCs/>
                <w:shd w:val="clear" w:color="auto" w:fill="FFFFFF"/>
                <w:lang w:val="en-IN" w:eastAsia="en-IN"/>
              </w:rPr>
              <w:t>Insti</w:t>
            </w:r>
            <w:proofErr w:type="spellEnd"/>
            <w:r w:rsidR="00B41270" w:rsidRPr="00B41270">
              <w:rPr>
                <w:rFonts w:ascii="Times New Roman" w:eastAsia="Times New Roman" w:hAnsi="Times New Roman" w:cs="Times New Roman"/>
                <w:b/>
                <w:bCs/>
                <w:shd w:val="clear" w:color="auto" w:fill="FFFFFF"/>
                <w:lang w:val="en-IN" w:eastAsia="en-IN"/>
              </w:rPr>
              <w:t xml:space="preserve">-Based </w:t>
            </w:r>
            <w:proofErr w:type="spellStart"/>
            <w:r w:rsidR="00B41270" w:rsidRPr="00B41270">
              <w:rPr>
                <w:rFonts w:ascii="Times New Roman" w:eastAsia="Times New Roman" w:hAnsi="Times New Roman" w:cs="Times New Roman"/>
                <w:b/>
                <w:bCs/>
                <w:shd w:val="clear" w:color="auto" w:fill="FFFFFF"/>
                <w:lang w:val="en-IN" w:eastAsia="en-IN"/>
              </w:rPr>
              <w:t>Regimeds</w:t>
            </w:r>
            <w:proofErr w:type="spellEnd"/>
            <w:r w:rsidR="00B41270" w:rsidRPr="00B41270">
              <w:rPr>
                <w:rFonts w:ascii="Times New Roman" w:eastAsia="Times New Roman" w:hAnsi="Times New Roman" w:cs="Times New Roman"/>
                <w:b/>
                <w:bCs/>
                <w:shd w:val="clear" w:color="auto" w:fill="FFFFFF"/>
                <w:lang w:val="en-IN" w:eastAsia="en-IN"/>
              </w:rPr>
              <w:t>: A Retrospective Cohort Study</w:t>
            </w:r>
          </w:p>
          <w:p w:rsidR="00195D88" w:rsidRDefault="00E15C74" w:rsidP="00195D88">
            <w:pPr>
              <w:spacing w:line="360" w:lineRule="auto"/>
              <w:jc w:val="both"/>
              <w:rPr>
                <w:rFonts w:ascii="Times New Roman" w:hAnsi="Times New Roman" w:cs="Times New Roman"/>
              </w:rPr>
            </w:pPr>
            <w:r w:rsidRPr="004C1AF1">
              <w:rPr>
                <w:rFonts w:ascii="Times New Roman" w:eastAsia="Times New Roman" w:hAnsi="Times New Roman" w:cs="Times New Roman"/>
                <w:bCs/>
                <w:shd w:val="clear" w:color="auto" w:fill="FFFFFF"/>
                <w:lang w:val="en-IN" w:eastAsia="en-IN"/>
              </w:rPr>
              <w:t>General Comments from Reviewer</w:t>
            </w:r>
            <w:r w:rsidRPr="004C1AF1">
              <w:rPr>
                <w:rFonts w:ascii="Times New Roman" w:hAnsi="Times New Roman" w:cs="Times New Roman"/>
              </w:rPr>
              <w:t>:</w:t>
            </w:r>
            <w:r w:rsidR="006C39F3" w:rsidRPr="004C1AF1">
              <w:rPr>
                <w:rFonts w:ascii="Times New Roman" w:hAnsi="Times New Roman" w:cs="Times New Roman"/>
              </w:rPr>
              <w:t xml:space="preserve"> </w:t>
            </w:r>
            <w:r w:rsidR="00195D88" w:rsidRPr="00195D88">
              <w:rPr>
                <w:rFonts w:ascii="Times New Roman" w:hAnsi="Times New Roman" w:cs="Times New Roman"/>
              </w:rPr>
              <w:t>This study provides important insight into the association between INSTI-based ART and weight gain in treatment-naïve PLWH. It highlights a growing concern in HIV management and offers valuable evidence to guide regimen selection. Despite some limitations due to study design and missing confounders, the analysis is sound and the conclusions are reasonable. With language polishing and some structural improvements, the manuscri</w:t>
            </w:r>
            <w:bookmarkStart w:id="0" w:name="_GoBack"/>
            <w:bookmarkEnd w:id="0"/>
            <w:r w:rsidR="00195D88" w:rsidRPr="00195D88">
              <w:rPr>
                <w:rFonts w:ascii="Times New Roman" w:hAnsi="Times New Roman" w:cs="Times New Roman"/>
              </w:rPr>
              <w:t>pt is suitable for publication.</w:t>
            </w:r>
          </w:p>
          <w:p w:rsidR="00195D88" w:rsidRPr="00B41270" w:rsidRDefault="00195D88" w:rsidP="00B41270">
            <w:pPr>
              <w:pStyle w:val="ListParagraph"/>
              <w:numPr>
                <w:ilvl w:val="0"/>
                <w:numId w:val="48"/>
              </w:numPr>
              <w:spacing w:line="360" w:lineRule="auto"/>
              <w:jc w:val="both"/>
              <w:rPr>
                <w:rFonts w:ascii="Times New Roman" w:eastAsia="Times New Roman" w:hAnsi="Times New Roman" w:cs="Times New Roman"/>
                <w:bCs/>
                <w:shd w:val="clear" w:color="auto" w:fill="FFFFFF"/>
                <w:lang w:val="en-IN" w:eastAsia="en-IN"/>
              </w:rPr>
            </w:pPr>
            <w:r w:rsidRPr="00B41270">
              <w:rPr>
                <w:rFonts w:ascii="Times New Roman" w:eastAsia="Times New Roman" w:hAnsi="Times New Roman" w:cs="Times New Roman"/>
                <w:bCs/>
                <w:shd w:val="clear" w:color="auto" w:fill="FFFFFF"/>
                <w:lang w:val="en-IN" w:eastAsia="en-IN"/>
              </w:rPr>
              <w:t>The use of retrospective clinical data from 2008 to 2023 adds depth and real-world applicability. The study spans 96 weeks, providing long-term weight trend insights.</w:t>
            </w:r>
            <w:r>
              <w:t xml:space="preserve"> </w:t>
            </w:r>
            <w:r w:rsidRPr="00B41270">
              <w:rPr>
                <w:rFonts w:ascii="Times New Roman" w:eastAsia="Times New Roman" w:hAnsi="Times New Roman" w:cs="Times New Roman"/>
                <w:bCs/>
                <w:shd w:val="clear" w:color="auto" w:fill="FFFFFF"/>
                <w:lang w:val="en-IN" w:eastAsia="en-IN"/>
              </w:rPr>
              <w:t>By targeting HIV treatment-naïve individuals, the study isolates the effect of initial ART regimens on weight gain, minimizing confounding from prior treatment exposures.</w:t>
            </w:r>
          </w:p>
          <w:p w:rsidR="00195D88" w:rsidRPr="00B41270" w:rsidRDefault="00195D88" w:rsidP="00B41270">
            <w:pPr>
              <w:pStyle w:val="ListParagraph"/>
              <w:numPr>
                <w:ilvl w:val="0"/>
                <w:numId w:val="48"/>
              </w:numPr>
              <w:spacing w:line="360" w:lineRule="auto"/>
              <w:jc w:val="both"/>
              <w:rPr>
                <w:rFonts w:ascii="Times New Roman" w:eastAsia="Times New Roman" w:hAnsi="Times New Roman" w:cs="Times New Roman"/>
                <w:bCs/>
                <w:shd w:val="clear" w:color="auto" w:fill="FFFFFF"/>
                <w:lang w:val="en-IN" w:eastAsia="en-IN"/>
              </w:rPr>
            </w:pPr>
            <w:r w:rsidRPr="00B41270">
              <w:rPr>
                <w:rFonts w:ascii="Times New Roman" w:eastAsia="Times New Roman" w:hAnsi="Times New Roman" w:cs="Times New Roman"/>
                <w:bCs/>
                <w:shd w:val="clear" w:color="auto" w:fill="FFFFFF"/>
                <w:lang w:val="en-IN" w:eastAsia="en-IN"/>
              </w:rPr>
              <w:t>The study excludes individuals with advanced-stage HIV, which strengthens the validity of the findings by minimizing the confounding influence of weight gain due to immune recovery.</w:t>
            </w:r>
          </w:p>
          <w:p w:rsidR="00195D88" w:rsidRPr="00B41270" w:rsidRDefault="00195D88" w:rsidP="00B41270">
            <w:pPr>
              <w:pStyle w:val="ListParagraph"/>
              <w:numPr>
                <w:ilvl w:val="0"/>
                <w:numId w:val="48"/>
              </w:numPr>
              <w:spacing w:line="360" w:lineRule="auto"/>
              <w:jc w:val="both"/>
              <w:rPr>
                <w:rFonts w:ascii="Times New Roman" w:eastAsia="Times New Roman" w:hAnsi="Times New Roman" w:cs="Times New Roman"/>
                <w:bCs/>
                <w:shd w:val="clear" w:color="auto" w:fill="FFFFFF"/>
                <w:lang w:val="en-IN" w:eastAsia="en-IN"/>
              </w:rPr>
            </w:pPr>
            <w:r w:rsidRPr="00B41270">
              <w:rPr>
                <w:rFonts w:ascii="Times New Roman" w:eastAsia="Times New Roman" w:hAnsi="Times New Roman" w:cs="Times New Roman"/>
                <w:bCs/>
                <w:shd w:val="clear" w:color="auto" w:fill="FFFFFF"/>
                <w:lang w:val="en-IN" w:eastAsia="en-IN"/>
              </w:rPr>
              <w:t>The exclusion of patients with advanced disease (to remove “return to health” bias) is justified, but the method of defining and controlling for this could be clarified. Explicitly state how WHO staging and CD4+ T cell count were used to define “non-advanced disease.”</w:t>
            </w:r>
          </w:p>
          <w:p w:rsidR="00195D88" w:rsidRPr="00B41270" w:rsidRDefault="00195D88" w:rsidP="00B41270">
            <w:pPr>
              <w:pStyle w:val="ListParagraph"/>
              <w:numPr>
                <w:ilvl w:val="0"/>
                <w:numId w:val="48"/>
              </w:numPr>
              <w:spacing w:line="360" w:lineRule="auto"/>
              <w:jc w:val="both"/>
              <w:rPr>
                <w:rFonts w:ascii="Times New Roman" w:eastAsia="Times New Roman" w:hAnsi="Times New Roman" w:cs="Times New Roman"/>
                <w:bCs/>
                <w:shd w:val="clear" w:color="auto" w:fill="FFFFFF"/>
                <w:lang w:val="en-IN" w:eastAsia="en-IN"/>
              </w:rPr>
            </w:pPr>
            <w:r w:rsidRPr="00B41270">
              <w:rPr>
                <w:rFonts w:ascii="Times New Roman" w:eastAsia="Times New Roman" w:hAnsi="Times New Roman" w:cs="Times New Roman"/>
                <w:bCs/>
                <w:shd w:val="clear" w:color="auto" w:fill="FFFFFF"/>
                <w:lang w:val="en-IN" w:eastAsia="en-IN"/>
              </w:rPr>
              <w:t>In the section comparing different INSTI regimens (DTG, BIC, RAL, EVG), provide more explanation on why certain regimens caused more weight gain. Discuss differences in pharmacokinetics, known metabolic effects, or demographics (e.g., DTG more used in younger patients?).</w:t>
            </w:r>
          </w:p>
          <w:p w:rsidR="00195D88" w:rsidRPr="00B41270" w:rsidRDefault="00195D88" w:rsidP="00B41270">
            <w:pPr>
              <w:pStyle w:val="ListParagraph"/>
              <w:numPr>
                <w:ilvl w:val="0"/>
                <w:numId w:val="48"/>
              </w:numPr>
              <w:spacing w:line="360" w:lineRule="auto"/>
              <w:jc w:val="both"/>
              <w:rPr>
                <w:rFonts w:ascii="Times New Roman" w:eastAsia="Times New Roman" w:hAnsi="Times New Roman" w:cs="Times New Roman"/>
                <w:bCs/>
                <w:shd w:val="clear" w:color="auto" w:fill="FFFFFF"/>
                <w:lang w:eastAsia="en-IN"/>
              </w:rPr>
            </w:pPr>
            <w:r w:rsidRPr="00B41270">
              <w:rPr>
                <w:rFonts w:ascii="Times New Roman" w:eastAsia="Times New Roman" w:hAnsi="Times New Roman" w:cs="Times New Roman"/>
                <w:bCs/>
                <w:shd w:val="clear" w:color="auto" w:fill="FFFFFF"/>
                <w:lang w:val="en-IN" w:eastAsia="en-IN"/>
              </w:rPr>
              <w:t>Expand the discussion on how clinicians should act on this information. For example:</w:t>
            </w:r>
            <w:r>
              <w:t xml:space="preserve"> </w:t>
            </w:r>
            <w:r w:rsidRPr="00B41270">
              <w:rPr>
                <w:rFonts w:ascii="Times New Roman" w:eastAsia="Times New Roman" w:hAnsi="Times New Roman" w:cs="Times New Roman"/>
                <w:bCs/>
                <w:shd w:val="clear" w:color="auto" w:fill="FFFFFF"/>
                <w:lang w:val="en-IN" w:eastAsia="en-IN"/>
              </w:rPr>
              <w:t xml:space="preserve">Should PLWH at risk of obesity be started on non-INSTI regimens? </w:t>
            </w:r>
            <w:r w:rsidRPr="00B41270">
              <w:rPr>
                <w:rFonts w:ascii="Times New Roman" w:eastAsia="Times New Roman" w:hAnsi="Times New Roman" w:cs="Times New Roman"/>
                <w:bCs/>
                <w:shd w:val="clear" w:color="auto" w:fill="FFFFFF"/>
                <w:lang w:eastAsia="en-IN"/>
              </w:rPr>
              <w:t>Should patients on INSTIs be switched if weight gain exceeds 10%?</w:t>
            </w:r>
          </w:p>
          <w:p w:rsidR="00B41270" w:rsidRPr="00B41270" w:rsidRDefault="00B41270" w:rsidP="00B41270">
            <w:pPr>
              <w:pStyle w:val="ListParagraph"/>
              <w:numPr>
                <w:ilvl w:val="0"/>
                <w:numId w:val="48"/>
              </w:numPr>
              <w:spacing w:line="360" w:lineRule="auto"/>
              <w:jc w:val="both"/>
              <w:rPr>
                <w:rFonts w:ascii="Times New Roman" w:eastAsia="Times New Roman" w:hAnsi="Times New Roman" w:cs="Times New Roman"/>
                <w:bCs/>
                <w:shd w:val="clear" w:color="auto" w:fill="FFFFFF"/>
                <w:lang w:val="en-IN" w:eastAsia="en-IN"/>
              </w:rPr>
            </w:pPr>
            <w:r w:rsidRPr="00B41270">
              <w:rPr>
                <w:rFonts w:ascii="Times New Roman" w:eastAsia="Times New Roman" w:hAnsi="Times New Roman" w:cs="Times New Roman"/>
                <w:bCs/>
                <w:shd w:val="clear" w:color="auto" w:fill="FFFFFF"/>
                <w:lang w:val="en-IN" w:eastAsia="en-IN"/>
              </w:rPr>
              <w:t xml:space="preserve">The Introduction section appears to contain content that closely resembles language from previously published sources, raising concerns about potential plagiarism or lack of proper paraphrasing. To maintain academic integrity and originality, we strongly recommend that the authors rewrite the </w:t>
            </w:r>
            <w:r w:rsidRPr="00B41270">
              <w:rPr>
                <w:rFonts w:ascii="Times New Roman" w:eastAsia="Times New Roman" w:hAnsi="Times New Roman" w:cs="Times New Roman"/>
                <w:bCs/>
                <w:shd w:val="clear" w:color="auto" w:fill="FFFFFF"/>
                <w:lang w:val="en-IN" w:eastAsia="en-IN"/>
              </w:rPr>
              <w:lastRenderedPageBreak/>
              <w:t>Introduction in their own words, ensuring appropriate citation and synthesis of prior research rather than direct copying. This will enhance both the credibility and scholarly quality of the manuscript.</w:t>
            </w:r>
          </w:p>
          <w:p w:rsidR="00BA178E" w:rsidRPr="004C1AF1" w:rsidRDefault="00E15C74" w:rsidP="00195D88">
            <w:pPr>
              <w:spacing w:line="360" w:lineRule="auto"/>
              <w:jc w:val="both"/>
              <w:rPr>
                <w:rFonts w:ascii="Times New Roman" w:hAnsi="Times New Roman" w:cs="Times New Roman"/>
              </w:rPr>
            </w:pPr>
            <w:r w:rsidRPr="004C1AF1">
              <w:rPr>
                <w:rFonts w:ascii="Times New Roman" w:eastAsia="Times New Roman" w:hAnsi="Times New Roman" w:cs="Times New Roman"/>
                <w:bCs/>
                <w:shd w:val="clear" w:color="auto" w:fill="FFFFFF"/>
                <w:lang w:val="en-IN" w:eastAsia="en-IN"/>
              </w:rPr>
              <w:t>The article can be published after m</w:t>
            </w:r>
            <w:r w:rsidR="00907B70" w:rsidRPr="004C1AF1">
              <w:rPr>
                <w:rFonts w:ascii="Times New Roman" w:eastAsia="Times New Roman" w:hAnsi="Times New Roman" w:cs="Times New Roman"/>
                <w:bCs/>
                <w:shd w:val="clear" w:color="auto" w:fill="FFFFFF"/>
                <w:lang w:val="en-IN" w:eastAsia="en-IN"/>
              </w:rPr>
              <w:t>in</w:t>
            </w:r>
            <w:r w:rsidR="00007AD1" w:rsidRPr="004C1AF1">
              <w:rPr>
                <w:rFonts w:ascii="Times New Roman" w:eastAsia="Times New Roman" w:hAnsi="Times New Roman" w:cs="Times New Roman"/>
                <w:bCs/>
                <w:shd w:val="clear" w:color="auto" w:fill="FFFFFF"/>
                <w:lang w:val="en-IN" w:eastAsia="en-IN"/>
              </w:rPr>
              <w:t>or</w:t>
            </w:r>
            <w:r w:rsidRPr="004C1AF1">
              <w:rPr>
                <w:rFonts w:ascii="Times New Roman" w:eastAsia="Times New Roman" w:hAnsi="Times New Roman" w:cs="Times New Roman"/>
                <w:bCs/>
                <w:shd w:val="clear" w:color="auto" w:fill="FFFFFF"/>
                <w:lang w:val="en-IN" w:eastAsia="en-IN"/>
              </w:rPr>
              <w:t xml:space="preserve"> revision.</w:t>
            </w:r>
          </w:p>
        </w:tc>
      </w:tr>
    </w:tbl>
    <w:p w:rsidR="00BA178E" w:rsidRPr="004C1AF1" w:rsidRDefault="00BA178E" w:rsidP="00195D88">
      <w:pPr>
        <w:spacing w:line="360" w:lineRule="auto"/>
        <w:jc w:val="both"/>
        <w:rPr>
          <w:rFonts w:ascii="Times New Roman" w:hAnsi="Times New Roman" w:cs="Times New Roman"/>
        </w:rPr>
      </w:pPr>
    </w:p>
    <w:sectPr w:rsidR="00BA178E" w:rsidRPr="004C1A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5549" w:rsidRDefault="00A45549">
      <w:pPr>
        <w:spacing w:line="240" w:lineRule="auto"/>
      </w:pPr>
      <w:r>
        <w:separator/>
      </w:r>
    </w:p>
  </w:endnote>
  <w:endnote w:type="continuationSeparator" w:id="0">
    <w:p w:rsidR="00A45549" w:rsidRDefault="00A45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5549" w:rsidRDefault="00A45549">
      <w:pPr>
        <w:spacing w:after="0"/>
      </w:pPr>
      <w:r>
        <w:separator/>
      </w:r>
    </w:p>
  </w:footnote>
  <w:footnote w:type="continuationSeparator" w:id="0">
    <w:p w:rsidR="00A45549" w:rsidRDefault="00A455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77DD"/>
    <w:multiLevelType w:val="hybridMultilevel"/>
    <w:tmpl w:val="71EC004A"/>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1343EB"/>
    <w:multiLevelType w:val="hybridMultilevel"/>
    <w:tmpl w:val="915AC4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3B14B3A"/>
    <w:multiLevelType w:val="hybridMultilevel"/>
    <w:tmpl w:val="8EE44B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5CD285F"/>
    <w:multiLevelType w:val="hybridMultilevel"/>
    <w:tmpl w:val="E028F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85A06D1"/>
    <w:multiLevelType w:val="hybridMultilevel"/>
    <w:tmpl w:val="7E088A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6863F55"/>
    <w:multiLevelType w:val="hybridMultilevel"/>
    <w:tmpl w:val="B10E1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74030D3"/>
    <w:multiLevelType w:val="hybridMultilevel"/>
    <w:tmpl w:val="A06E0F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C692033"/>
    <w:multiLevelType w:val="hybridMultilevel"/>
    <w:tmpl w:val="F78ECE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CAE652C"/>
    <w:multiLevelType w:val="hybridMultilevel"/>
    <w:tmpl w:val="33A6B306"/>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34C65B5"/>
    <w:multiLevelType w:val="hybridMultilevel"/>
    <w:tmpl w:val="35FA2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57A00E0"/>
    <w:multiLevelType w:val="hybridMultilevel"/>
    <w:tmpl w:val="940ABE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8987C88"/>
    <w:multiLevelType w:val="hybridMultilevel"/>
    <w:tmpl w:val="991C42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A623354"/>
    <w:multiLevelType w:val="hybridMultilevel"/>
    <w:tmpl w:val="ABB4BE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D5E1D97"/>
    <w:multiLevelType w:val="hybridMultilevel"/>
    <w:tmpl w:val="CD5E1226"/>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FCD15D8"/>
    <w:multiLevelType w:val="hybridMultilevel"/>
    <w:tmpl w:val="45B822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34E679D"/>
    <w:multiLevelType w:val="hybridMultilevel"/>
    <w:tmpl w:val="760056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AD70950"/>
    <w:multiLevelType w:val="hybridMultilevel"/>
    <w:tmpl w:val="FD3EF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B492AC6"/>
    <w:multiLevelType w:val="hybridMultilevel"/>
    <w:tmpl w:val="771604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E092571"/>
    <w:multiLevelType w:val="hybridMultilevel"/>
    <w:tmpl w:val="2E829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0AA7E78"/>
    <w:multiLevelType w:val="hybridMultilevel"/>
    <w:tmpl w:val="470868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36945B7"/>
    <w:multiLevelType w:val="hybridMultilevel"/>
    <w:tmpl w:val="737CC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58A01BC"/>
    <w:multiLevelType w:val="hybridMultilevel"/>
    <w:tmpl w:val="7A12A7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61851AA"/>
    <w:multiLevelType w:val="hybridMultilevel"/>
    <w:tmpl w:val="7696CF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F2C0BBC"/>
    <w:multiLevelType w:val="hybridMultilevel"/>
    <w:tmpl w:val="D6A65A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35D6119"/>
    <w:multiLevelType w:val="hybridMultilevel"/>
    <w:tmpl w:val="AF2472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4E472BB"/>
    <w:multiLevelType w:val="hybridMultilevel"/>
    <w:tmpl w:val="9FC85F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86D2966"/>
    <w:multiLevelType w:val="hybridMultilevel"/>
    <w:tmpl w:val="F2369F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9776869"/>
    <w:multiLevelType w:val="hybridMultilevel"/>
    <w:tmpl w:val="9F588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D067131"/>
    <w:multiLevelType w:val="hybridMultilevel"/>
    <w:tmpl w:val="8194B3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0612ADB"/>
    <w:multiLevelType w:val="hybridMultilevel"/>
    <w:tmpl w:val="BFBC43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06D7E15"/>
    <w:multiLevelType w:val="hybridMultilevel"/>
    <w:tmpl w:val="691610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11650EC"/>
    <w:multiLevelType w:val="hybridMultilevel"/>
    <w:tmpl w:val="559231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34C2EBE"/>
    <w:multiLevelType w:val="hybridMultilevel"/>
    <w:tmpl w:val="F0D0FF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3592768"/>
    <w:multiLevelType w:val="hybridMultilevel"/>
    <w:tmpl w:val="0C22ED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37D7FAB"/>
    <w:multiLevelType w:val="hybridMultilevel"/>
    <w:tmpl w:val="0ED671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4485A88"/>
    <w:multiLevelType w:val="hybridMultilevel"/>
    <w:tmpl w:val="C51663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DC6C05"/>
    <w:multiLevelType w:val="hybridMultilevel"/>
    <w:tmpl w:val="7A2C4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62F7856"/>
    <w:multiLevelType w:val="hybridMultilevel"/>
    <w:tmpl w:val="9A043A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7601ECB"/>
    <w:multiLevelType w:val="hybridMultilevel"/>
    <w:tmpl w:val="24A8C9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C636D69"/>
    <w:multiLevelType w:val="hybridMultilevel"/>
    <w:tmpl w:val="5D2825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DBA3517"/>
    <w:multiLevelType w:val="hybridMultilevel"/>
    <w:tmpl w:val="E3DAD01C"/>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E226EA2"/>
    <w:multiLevelType w:val="hybridMultilevel"/>
    <w:tmpl w:val="1F22D7F4"/>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71713A87"/>
    <w:multiLevelType w:val="hybridMultilevel"/>
    <w:tmpl w:val="1C3451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1941896"/>
    <w:multiLevelType w:val="hybridMultilevel"/>
    <w:tmpl w:val="ED160A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A63792E"/>
    <w:multiLevelType w:val="hybridMultilevel"/>
    <w:tmpl w:val="7AD235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A9B5EA2"/>
    <w:multiLevelType w:val="hybridMultilevel"/>
    <w:tmpl w:val="65D8AC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7E5A09E9"/>
    <w:multiLevelType w:val="hybridMultilevel"/>
    <w:tmpl w:val="97BC78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21"/>
  </w:num>
  <w:num w:numId="4">
    <w:abstractNumId w:val="23"/>
  </w:num>
  <w:num w:numId="5">
    <w:abstractNumId w:val="17"/>
  </w:num>
  <w:num w:numId="6">
    <w:abstractNumId w:val="38"/>
  </w:num>
  <w:num w:numId="7">
    <w:abstractNumId w:val="30"/>
  </w:num>
  <w:num w:numId="8">
    <w:abstractNumId w:val="47"/>
  </w:num>
  <w:num w:numId="9">
    <w:abstractNumId w:val="32"/>
  </w:num>
  <w:num w:numId="10">
    <w:abstractNumId w:val="4"/>
  </w:num>
  <w:num w:numId="11">
    <w:abstractNumId w:val="34"/>
  </w:num>
  <w:num w:numId="12">
    <w:abstractNumId w:val="39"/>
  </w:num>
  <w:num w:numId="13">
    <w:abstractNumId w:val="45"/>
  </w:num>
  <w:num w:numId="14">
    <w:abstractNumId w:val="11"/>
  </w:num>
  <w:num w:numId="15">
    <w:abstractNumId w:val="12"/>
  </w:num>
  <w:num w:numId="16">
    <w:abstractNumId w:val="6"/>
  </w:num>
  <w:num w:numId="17">
    <w:abstractNumId w:val="14"/>
  </w:num>
  <w:num w:numId="18">
    <w:abstractNumId w:val="43"/>
  </w:num>
  <w:num w:numId="19">
    <w:abstractNumId w:val="29"/>
  </w:num>
  <w:num w:numId="20">
    <w:abstractNumId w:val="9"/>
  </w:num>
  <w:num w:numId="21">
    <w:abstractNumId w:val="31"/>
  </w:num>
  <w:num w:numId="22">
    <w:abstractNumId w:val="40"/>
  </w:num>
  <w:num w:numId="23">
    <w:abstractNumId w:val="33"/>
  </w:num>
  <w:num w:numId="24">
    <w:abstractNumId w:val="42"/>
  </w:num>
  <w:num w:numId="25">
    <w:abstractNumId w:val="18"/>
  </w:num>
  <w:num w:numId="26">
    <w:abstractNumId w:val="25"/>
  </w:num>
  <w:num w:numId="27">
    <w:abstractNumId w:val="20"/>
  </w:num>
  <w:num w:numId="28">
    <w:abstractNumId w:val="36"/>
  </w:num>
  <w:num w:numId="29">
    <w:abstractNumId w:val="7"/>
  </w:num>
  <w:num w:numId="30">
    <w:abstractNumId w:val="19"/>
  </w:num>
  <w:num w:numId="31">
    <w:abstractNumId w:val="26"/>
  </w:num>
  <w:num w:numId="32">
    <w:abstractNumId w:val="10"/>
  </w:num>
  <w:num w:numId="33">
    <w:abstractNumId w:val="37"/>
  </w:num>
  <w:num w:numId="34">
    <w:abstractNumId w:val="2"/>
  </w:num>
  <w:num w:numId="35">
    <w:abstractNumId w:val="41"/>
  </w:num>
  <w:num w:numId="36">
    <w:abstractNumId w:val="16"/>
  </w:num>
  <w:num w:numId="37">
    <w:abstractNumId w:val="0"/>
  </w:num>
  <w:num w:numId="38">
    <w:abstractNumId w:val="24"/>
  </w:num>
  <w:num w:numId="39">
    <w:abstractNumId w:val="5"/>
  </w:num>
  <w:num w:numId="40">
    <w:abstractNumId w:val="27"/>
  </w:num>
  <w:num w:numId="41">
    <w:abstractNumId w:val="35"/>
  </w:num>
  <w:num w:numId="42">
    <w:abstractNumId w:val="22"/>
  </w:num>
  <w:num w:numId="43">
    <w:abstractNumId w:val="3"/>
  </w:num>
  <w:num w:numId="44">
    <w:abstractNumId w:val="8"/>
  </w:num>
  <w:num w:numId="45">
    <w:abstractNumId w:val="13"/>
  </w:num>
  <w:num w:numId="46">
    <w:abstractNumId w:val="44"/>
  </w:num>
  <w:num w:numId="47">
    <w:abstractNumId w:val="46"/>
  </w:num>
  <w:num w:numId="48">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C4D"/>
    <w:rsid w:val="000804F7"/>
    <w:rsid w:val="00080E09"/>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2A3A"/>
    <w:rsid w:val="0023303A"/>
    <w:rsid w:val="002332D3"/>
    <w:rsid w:val="00234EDA"/>
    <w:rsid w:val="00236325"/>
    <w:rsid w:val="00237EE7"/>
    <w:rsid w:val="00240083"/>
    <w:rsid w:val="00240F9C"/>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26B9A"/>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3186"/>
    <w:rsid w:val="003643AB"/>
    <w:rsid w:val="003653C6"/>
    <w:rsid w:val="00367FB9"/>
    <w:rsid w:val="00374443"/>
    <w:rsid w:val="003763F0"/>
    <w:rsid w:val="00377329"/>
    <w:rsid w:val="003810EE"/>
    <w:rsid w:val="00381640"/>
    <w:rsid w:val="00382309"/>
    <w:rsid w:val="0038499F"/>
    <w:rsid w:val="00384B5D"/>
    <w:rsid w:val="003912CF"/>
    <w:rsid w:val="00391FEF"/>
    <w:rsid w:val="00395330"/>
    <w:rsid w:val="00395FC2"/>
    <w:rsid w:val="003A1E2D"/>
    <w:rsid w:val="003A21C6"/>
    <w:rsid w:val="003A47E2"/>
    <w:rsid w:val="003A5484"/>
    <w:rsid w:val="003A65C7"/>
    <w:rsid w:val="003A6668"/>
    <w:rsid w:val="003A7C4F"/>
    <w:rsid w:val="003B2769"/>
    <w:rsid w:val="003B3B6C"/>
    <w:rsid w:val="003B417E"/>
    <w:rsid w:val="003B4BDE"/>
    <w:rsid w:val="003C07DE"/>
    <w:rsid w:val="003C0C6F"/>
    <w:rsid w:val="003C1660"/>
    <w:rsid w:val="003C2DA4"/>
    <w:rsid w:val="003C3146"/>
    <w:rsid w:val="003C3E38"/>
    <w:rsid w:val="003C42FF"/>
    <w:rsid w:val="003C520D"/>
    <w:rsid w:val="003C6542"/>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EA4"/>
    <w:rsid w:val="0048506D"/>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D078A"/>
    <w:rsid w:val="006D1CAB"/>
    <w:rsid w:val="006D1E4A"/>
    <w:rsid w:val="006D2F34"/>
    <w:rsid w:val="006D4B00"/>
    <w:rsid w:val="006D5594"/>
    <w:rsid w:val="006D5A05"/>
    <w:rsid w:val="006D5D7A"/>
    <w:rsid w:val="006D73E0"/>
    <w:rsid w:val="006E155C"/>
    <w:rsid w:val="006E4F78"/>
    <w:rsid w:val="006E6A77"/>
    <w:rsid w:val="006F0643"/>
    <w:rsid w:val="006F3B31"/>
    <w:rsid w:val="006F3C09"/>
    <w:rsid w:val="006F6E13"/>
    <w:rsid w:val="006F7ADC"/>
    <w:rsid w:val="006F7CB2"/>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1067"/>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978D1"/>
    <w:rsid w:val="007A0008"/>
    <w:rsid w:val="007A175F"/>
    <w:rsid w:val="007A2938"/>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CD2"/>
    <w:rsid w:val="009579D2"/>
    <w:rsid w:val="00957E24"/>
    <w:rsid w:val="00961534"/>
    <w:rsid w:val="00962010"/>
    <w:rsid w:val="00963136"/>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0639"/>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549"/>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1270"/>
    <w:rsid w:val="00B42739"/>
    <w:rsid w:val="00B47AE6"/>
    <w:rsid w:val="00B51458"/>
    <w:rsid w:val="00B52C96"/>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3728"/>
    <w:rsid w:val="00BE3B09"/>
    <w:rsid w:val="00BE3DAF"/>
    <w:rsid w:val="00BE4DF5"/>
    <w:rsid w:val="00BF09C7"/>
    <w:rsid w:val="00BF0F76"/>
    <w:rsid w:val="00BF199D"/>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5386"/>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B26"/>
    <w:rsid w:val="00D75683"/>
    <w:rsid w:val="00D81D64"/>
    <w:rsid w:val="00D822D3"/>
    <w:rsid w:val="00D82757"/>
    <w:rsid w:val="00D8301E"/>
    <w:rsid w:val="00D83CAC"/>
    <w:rsid w:val="00D8492D"/>
    <w:rsid w:val="00D84AA4"/>
    <w:rsid w:val="00D8600D"/>
    <w:rsid w:val="00D86F06"/>
    <w:rsid w:val="00D92282"/>
    <w:rsid w:val="00D92A64"/>
    <w:rsid w:val="00D92F11"/>
    <w:rsid w:val="00D940FC"/>
    <w:rsid w:val="00D9547D"/>
    <w:rsid w:val="00D96AA7"/>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349"/>
    <w:rsid w:val="00DC6727"/>
    <w:rsid w:val="00DC6E61"/>
    <w:rsid w:val="00DC6FBB"/>
    <w:rsid w:val="00DC7693"/>
    <w:rsid w:val="00DD04E3"/>
    <w:rsid w:val="00DD067A"/>
    <w:rsid w:val="00DD0EC9"/>
    <w:rsid w:val="00DD10E4"/>
    <w:rsid w:val="00DD41A6"/>
    <w:rsid w:val="00DD5175"/>
    <w:rsid w:val="00DD6331"/>
    <w:rsid w:val="00DD6B57"/>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1A17"/>
    <w:rsid w:val="00E1566B"/>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6FE7"/>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1D83"/>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5244"/>
    <w:rsid w:val="00EE6C65"/>
    <w:rsid w:val="00EF1E80"/>
    <w:rsid w:val="00EF5935"/>
    <w:rsid w:val="00EF5B6D"/>
    <w:rsid w:val="00EF700D"/>
    <w:rsid w:val="00F0374E"/>
    <w:rsid w:val="00F03A7E"/>
    <w:rsid w:val="00F03FA6"/>
    <w:rsid w:val="00F0701D"/>
    <w:rsid w:val="00F072C2"/>
    <w:rsid w:val="00F07F37"/>
    <w:rsid w:val="00F10DDE"/>
    <w:rsid w:val="00F11439"/>
    <w:rsid w:val="00F11BD5"/>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860"/>
    <w:rsid w:val="00FB3CDF"/>
    <w:rsid w:val="00FB43D3"/>
    <w:rsid w:val="00FB4EA8"/>
    <w:rsid w:val="00FB5370"/>
    <w:rsid w:val="00FB6421"/>
    <w:rsid w:val="00FC106F"/>
    <w:rsid w:val="00FC1A97"/>
    <w:rsid w:val="00FC2806"/>
    <w:rsid w:val="00FC3405"/>
    <w:rsid w:val="00FC38F7"/>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3E15F"/>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7A126-E586-4A83-83C8-01CF391DB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2025-07-29T13:43:00Z</dcterms:created>
  <dcterms:modified xsi:type="dcterms:W3CDTF">2025-07-29T13:43:00Z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